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79C" w14:textId="77777777" w:rsidR="001D6A2F" w:rsidRDefault="00612734">
      <w:bookmarkStart w:id="0" w:name="_Toc125555043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0C382E" wp14:editId="53031869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77777777" w:rsidR="001D6A2F" w:rsidRDefault="00612734">
      <w:pPr>
        <w:pStyle w:val="h1-RequestforQuotations"/>
        <w:jc w:val="center"/>
        <w:rPr>
          <w:szCs w:val="22"/>
        </w:rPr>
      </w:pPr>
      <w:bookmarkStart w:id="1" w:name="_Toc156547761"/>
      <w:r>
        <w:rPr>
          <w:szCs w:val="22"/>
        </w:rPr>
        <w:t>SCHEDULE B - QUOTATION</w:t>
      </w:r>
      <w:bookmarkEnd w:id="0"/>
      <w:bookmarkEnd w:id="1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2D057ABD" w:rsidR="001D6A2F" w:rsidRDefault="00612734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</w:t>
      </w:r>
      <w:r w:rsidR="00FB246B" w:rsidRPr="00D63F3F">
        <w:rPr>
          <w:rFonts w:cs="Arial"/>
          <w:b/>
          <w:spacing w:val="-3"/>
          <w:szCs w:val="22"/>
        </w:rPr>
        <w:t xml:space="preserve">Supply and Delivery of </w:t>
      </w:r>
      <w:r w:rsidR="00FB246B">
        <w:rPr>
          <w:rFonts w:cs="Arial"/>
          <w:b/>
          <w:spacing w:val="-3"/>
          <w:szCs w:val="22"/>
        </w:rPr>
        <w:t xml:space="preserve">Pipes and Fittings for </w:t>
      </w:r>
      <w:r w:rsidR="00FB246B" w:rsidRPr="00D63F3F">
        <w:rPr>
          <w:rFonts w:cs="Arial"/>
          <w:b/>
          <w:spacing w:val="-3"/>
          <w:szCs w:val="22"/>
        </w:rPr>
        <w:t xml:space="preserve">Watermain </w:t>
      </w:r>
      <w:r w:rsidR="00FB246B">
        <w:rPr>
          <w:rFonts w:cs="Arial"/>
          <w:b/>
          <w:spacing w:val="-3"/>
          <w:szCs w:val="22"/>
        </w:rPr>
        <w:t>Projects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513C8E54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</w:t>
      </w:r>
      <w:r w:rsidR="00FB246B">
        <w:rPr>
          <w:rFonts w:cs="Arial"/>
          <w:b/>
          <w:bCs/>
          <w:szCs w:val="22"/>
        </w:rPr>
        <w:t>2024-009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Pr="001211E2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 w:rsidRPr="001211E2">
        <w:rPr>
          <w:rFonts w:cs="Arial"/>
          <w:b/>
          <w:bCs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B0C37BD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B0C37BE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B0C37BF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B0C37C0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205E5C5B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 xml:space="preserve">I/We have reviewed the RFQ Attachment 1 – </w:t>
      </w:r>
      <w:r w:rsidR="00892266">
        <w:rPr>
          <w:rFonts w:cs="Arial"/>
          <w:szCs w:val="22"/>
        </w:rPr>
        <w:t xml:space="preserve">Drat </w:t>
      </w:r>
      <w:r>
        <w:rPr>
          <w:rFonts w:cs="Arial"/>
          <w:szCs w:val="22"/>
        </w:rPr>
        <w:t>Quotation Agreement - Goods.  If requested by the City,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0D535D11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Attachment 1 – </w:t>
      </w:r>
      <w:r w:rsidR="00892266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Goods, this Quotation includes the following warranties:</w:t>
      </w:r>
    </w:p>
    <w:p w14:paraId="0B0C37D5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>
      <w:pPr>
        <w:jc w:val="both"/>
        <w:rPr>
          <w:rFonts w:cs="Arial"/>
          <w:szCs w:val="22"/>
        </w:rPr>
      </w:pPr>
    </w:p>
    <w:p w14:paraId="0B0C37DA" w14:textId="1A4E8A86" w:rsidR="001D6A2F" w:rsidRDefault="00612734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</w:t>
      </w:r>
      <w:r w:rsidR="00892266">
        <w:t xml:space="preserve">Draft </w:t>
      </w:r>
      <w:r>
        <w:t>Quotation Agreement - Goods, Schedule A – Specifications of Goods.  If requested by the City, I/we would be prepared to meet those requirements, amended by the following departures (list, if any):</w:t>
      </w:r>
    </w:p>
    <w:p w14:paraId="0B0C37DB" w14:textId="77777777" w:rsidR="001D6A2F" w:rsidRDefault="001D6A2F">
      <w:pPr>
        <w:jc w:val="both"/>
        <w:rPr>
          <w:rFonts w:cs="Arial"/>
          <w:szCs w:val="22"/>
        </w:rPr>
      </w:pPr>
    </w:p>
    <w:p w14:paraId="0B0C37DC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8" w14:textId="77777777" w:rsidR="001D6A2F" w:rsidRDefault="0061273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Fees 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714702B7" w:rsidR="002C5433" w:rsidRDefault="002C5433">
      <w:pPr>
        <w:spacing w:line="240" w:lineRule="auto"/>
        <w:rPr>
          <w:rFonts w:cs="Arial"/>
          <w:spacing w:val="-2"/>
          <w:szCs w:val="22"/>
          <w:lang w:val="en-GB"/>
        </w:rPr>
      </w:pPr>
      <w:r>
        <w:rPr>
          <w:rFonts w:cs="Arial"/>
          <w:spacing w:val="-2"/>
          <w:szCs w:val="22"/>
          <w:lang w:val="en-GB"/>
        </w:rPr>
        <w:br w:type="page"/>
      </w:r>
    </w:p>
    <w:p w14:paraId="480D3F77" w14:textId="77777777" w:rsidR="005F4853" w:rsidRDefault="005F4853" w:rsidP="00256A0C">
      <w:pPr>
        <w:tabs>
          <w:tab w:val="right" w:leader="underscore" w:pos="5040"/>
        </w:tabs>
        <w:jc w:val="both"/>
        <w:rPr>
          <w:rFonts w:cs="Arial"/>
          <w:b/>
          <w:bCs/>
          <w:sz w:val="20"/>
        </w:rPr>
        <w:sectPr w:rsidR="005F4853" w:rsidSect="0067271F">
          <w:footerReference w:type="default" r:id="rId15"/>
          <w:footerReference w:type="first" r:id="rId16"/>
          <w:pgSz w:w="12240" w:h="15840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932"/>
        <w:gridCol w:w="2409"/>
        <w:gridCol w:w="1134"/>
        <w:gridCol w:w="1171"/>
        <w:gridCol w:w="992"/>
        <w:gridCol w:w="1418"/>
        <w:gridCol w:w="1701"/>
      </w:tblGrid>
      <w:tr w:rsidR="009230F8" w:rsidRPr="00EF4EAE" w14:paraId="45F938FC" w14:textId="77777777" w:rsidTr="00937BAB">
        <w:trPr>
          <w:trHeight w:val="8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440CF02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lastRenderedPageBreak/>
              <w:t>Item #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552427C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CD892F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B148666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74C4FB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3B5A76E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AE4DD0F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90167D4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9230F8" w:rsidRPr="00EF4EAE" w14:paraId="6894E3D8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0BF6E3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0B260D" w14:textId="77777777" w:rsidR="009230F8" w:rsidRPr="0032668D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 xml:space="preserve">300mm </w:t>
            </w:r>
            <w:proofErr w:type="spellStart"/>
            <w:r w:rsidRPr="001F33CB"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946B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A296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434CE7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EA0FDC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51DF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C7E1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71F7424D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F5BEE5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A92079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24AA1">
              <w:rPr>
                <w:rFonts w:ascii="Calibri" w:hAnsi="Calibri" w:cs="Calibri"/>
                <w:color w:val="000000"/>
                <w:szCs w:val="22"/>
              </w:rPr>
              <w:t xml:space="preserve">250mm </w:t>
            </w:r>
            <w:proofErr w:type="spellStart"/>
            <w:r w:rsidRPr="001F33CB"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8E29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8A52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8033F1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55A1AF" w14:textId="1F1EFF5D" w:rsidR="009230F8" w:rsidRPr="00DB1CE1" w:rsidRDefault="00C0185F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773D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2FA3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5ACC1429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B765C1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C77899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24AA1">
              <w:rPr>
                <w:rFonts w:ascii="Calibri" w:hAnsi="Calibri" w:cs="Calibri"/>
                <w:color w:val="000000"/>
                <w:szCs w:val="22"/>
              </w:rPr>
              <w:t xml:space="preserve">200mm </w:t>
            </w:r>
            <w:proofErr w:type="spellStart"/>
            <w:r w:rsidRPr="001F33CB"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7D78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300D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C12D4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B1A05" w14:textId="7CBFD0CA" w:rsidR="009230F8" w:rsidRPr="00DB1CE1" w:rsidRDefault="00C0185F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1BD8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E1C5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014CEE89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2E61AD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66228F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24AA1">
              <w:rPr>
                <w:rFonts w:ascii="Calibri" w:hAnsi="Calibri" w:cs="Calibri"/>
                <w:color w:val="000000"/>
                <w:szCs w:val="22"/>
              </w:rPr>
              <w:t xml:space="preserve">150mm </w:t>
            </w:r>
            <w:proofErr w:type="spellStart"/>
            <w:r w:rsidRPr="001F33CB"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9353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CD05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EDE1A6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69D49" w14:textId="25802187" w:rsidR="009230F8" w:rsidRPr="00DB1CE1" w:rsidRDefault="00C0185F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B649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F446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58378C7D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67ADB8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8075A3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24AA1">
              <w:rPr>
                <w:rFonts w:ascii="Calibri" w:hAnsi="Calibri" w:cs="Calibri"/>
                <w:color w:val="000000"/>
                <w:szCs w:val="22"/>
              </w:rPr>
              <w:t>300mm MJ x MJ Gate Valve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D518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C41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C6EED8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C59728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A656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EBB0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3FF817F4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15712C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A3960D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300mm MJ x 300mm MJ x 250mm FL Tee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4E3C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21A5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C5AC94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7A8A5A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5757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8ABB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295ACEF9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BBB466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046ED7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300mm MJ x 300mm MJ x 200mm FL Tee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1A60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C0C5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B534FB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BE8548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FDFE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9CCA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7249B67B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2E28D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A08A0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300mm MJ x 300mm MJ x 150mm FL Tee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ADF4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3C95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B82341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2D4981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D25A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D2B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3211D70E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EA810D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6586A6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300mm MJ X MJ  45 DEG Bend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4740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3DE4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680CED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C4A350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E4EA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CF56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07640073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74127E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F666E2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 xml:space="preserve">300mm </w:t>
            </w:r>
            <w:proofErr w:type="spellStart"/>
            <w:r w:rsidRPr="001F33CB"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  <w:r w:rsidRPr="001F33CB">
              <w:rPr>
                <w:rFonts w:ascii="Calibri" w:hAnsi="Calibri" w:cs="Calibri"/>
                <w:color w:val="000000"/>
                <w:szCs w:val="22"/>
              </w:rPr>
              <w:t xml:space="preserve"> Bell Restraint Set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B05C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A579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67C395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C726EA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952D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C11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61541C0D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71FF11" w14:textId="77777777" w:rsidR="009230F8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52E700" w14:textId="77777777" w:rsidR="009230F8" w:rsidRPr="00DB1CE1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300mm MJ Break Away Gland Packs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AAD7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CAA6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CD4CA0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015597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55ED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374C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73B4F4F4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C4F676" w14:textId="77777777" w:rsidR="009230F8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30019C" w14:textId="77777777" w:rsidR="009230F8" w:rsidRPr="00DB1CE1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200mm MJ End Cap with 50mm hole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7127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907A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A71B7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892157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F8B8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9D2F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54B47266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262F87" w14:textId="77777777" w:rsidR="009230F8" w:rsidRPr="00EF4EAE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F9FD52" w14:textId="77777777" w:rsidR="009230F8" w:rsidRPr="0032668D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1F33CB">
              <w:rPr>
                <w:rFonts w:ascii="Calibri" w:hAnsi="Calibri" w:cs="Calibri"/>
                <w:color w:val="000000"/>
                <w:szCs w:val="22"/>
              </w:rPr>
              <w:t>150mm MJ End Cap with 50mm hole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243C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3CE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48704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CC5D9F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8D4E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BC95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44FFB9A9" w14:textId="77777777" w:rsidTr="00937BAB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959DD4" w14:textId="77777777" w:rsidR="009230F8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D4A1A2" w14:textId="77777777" w:rsidR="009230F8" w:rsidRPr="001F33CB" w:rsidRDefault="009230F8" w:rsidP="00937BAB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300mm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bionax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19mm saddles for Services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B8F7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B1F9" w14:textId="77777777" w:rsidR="009230F8" w:rsidRPr="0032668D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D79EC" w14:textId="77777777" w:rsidR="009230F8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7B0BC1" w14:textId="77777777" w:rsidR="009230F8" w:rsidRPr="00DB1CE1" w:rsidRDefault="009230F8" w:rsidP="00937BAB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CDB9" w14:textId="77777777" w:rsidR="009230F8" w:rsidRPr="00DB1CE1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E72E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04ED5CB6" w14:textId="77777777" w:rsidTr="00937BAB">
        <w:trPr>
          <w:trHeight w:val="397"/>
          <w:jc w:val="center"/>
        </w:trPr>
        <w:tc>
          <w:tcPr>
            <w:tcW w:w="9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25C17" w14:textId="77777777" w:rsidR="009230F8" w:rsidRPr="00EF4EAE" w:rsidRDefault="009230F8" w:rsidP="00937BAB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2113B413" w14:textId="77777777" w:rsidR="009230F8" w:rsidRPr="00EF4EAE" w:rsidRDefault="009230F8" w:rsidP="00937BAB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0BF00EF4" w14:textId="77777777" w:rsidR="009230F8" w:rsidRPr="00EF4EAE" w:rsidRDefault="009230F8" w:rsidP="00937BAB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137A5626" w14:textId="77777777" w:rsidR="009230F8" w:rsidRPr="00EF4EAE" w:rsidRDefault="009230F8" w:rsidP="00937BAB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5747A96C" w14:textId="77777777" w:rsidR="009230F8" w:rsidRPr="00EF4EAE" w:rsidRDefault="009230F8" w:rsidP="00937BAB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B8838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370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5BDA0560" w14:textId="77777777" w:rsidTr="00937BAB">
        <w:trPr>
          <w:trHeight w:val="397"/>
          <w:jc w:val="center"/>
        </w:trPr>
        <w:tc>
          <w:tcPr>
            <w:tcW w:w="93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0A709C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ED6E2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5726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0324B693" w14:textId="77777777" w:rsidTr="00937BAB">
        <w:trPr>
          <w:trHeight w:val="397"/>
          <w:jc w:val="center"/>
        </w:trPr>
        <w:tc>
          <w:tcPr>
            <w:tcW w:w="93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0D1308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A00DF8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CACB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230F8" w:rsidRPr="00EF4EAE" w14:paraId="72D58474" w14:textId="77777777" w:rsidTr="00937BAB">
        <w:trPr>
          <w:trHeight w:val="397"/>
          <w:jc w:val="center"/>
        </w:trPr>
        <w:tc>
          <w:tcPr>
            <w:tcW w:w="93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DD60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4579A6" w14:textId="77777777" w:rsidR="009230F8" w:rsidRPr="00EF4EAE" w:rsidRDefault="009230F8" w:rsidP="00937BAB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DAFA" w14:textId="77777777" w:rsidR="009230F8" w:rsidRPr="00EF4EAE" w:rsidRDefault="009230F8" w:rsidP="00937BAB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3F489D3C" w14:textId="5FC4DAF1" w:rsidR="005F4853" w:rsidRDefault="005F4853">
      <w:pPr>
        <w:spacing w:line="240" w:lineRule="auto"/>
        <w:rPr>
          <w:rFonts w:cs="Arial"/>
          <w:spacing w:val="-2"/>
          <w:szCs w:val="22"/>
          <w:lang w:val="en-GB"/>
        </w:rPr>
        <w:sectPr w:rsidR="005F4853" w:rsidSect="000E1606">
          <w:pgSz w:w="15840" w:h="12240" w:orient="landscape" w:code="1"/>
          <w:pgMar w:top="1440" w:right="1440" w:bottom="1440" w:left="1440" w:header="0" w:footer="215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0B0C381D" w14:textId="77777777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77777777" w:rsidR="001D6A2F" w:rsidRDefault="00612734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>
        <w:rPr>
          <w:rFonts w:cs="Arial"/>
          <w:color w:val="FF0000"/>
          <w:sz w:val="20"/>
          <w:szCs w:val="20"/>
        </w:rPr>
        <w:t>_</w:t>
      </w:r>
      <w:r>
        <w:rPr>
          <w:rFonts w:cs="Arial"/>
          <w:sz w:val="20"/>
          <w:szCs w:val="20"/>
        </w:rPr>
        <w:t>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 w:rsidSect="0063535C">
      <w:pgSz w:w="12240" w:h="15840" w:code="1"/>
      <w:pgMar w:top="1440" w:right="1440" w:bottom="1440" w:left="1440" w:header="0" w:footer="215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1891" w14:textId="77777777" w:rsidR="0067271F" w:rsidRDefault="0067271F">
      <w:pPr>
        <w:spacing w:line="240" w:lineRule="auto"/>
      </w:pPr>
      <w:r>
        <w:separator/>
      </w:r>
    </w:p>
  </w:endnote>
  <w:endnote w:type="continuationSeparator" w:id="0">
    <w:p w14:paraId="6BFB1FBA" w14:textId="77777777" w:rsidR="0067271F" w:rsidRDefault="0067271F">
      <w:pPr>
        <w:spacing w:line="240" w:lineRule="auto"/>
      </w:pPr>
      <w:r>
        <w:continuationSeparator/>
      </w:r>
    </w:p>
  </w:endnote>
  <w:endnote w:type="continuationNotice" w:id="1">
    <w:p w14:paraId="4DCA6312" w14:textId="77777777" w:rsidR="008F2DEE" w:rsidRDefault="008F2D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834" w14:textId="2343F0E3" w:rsidR="001D6A2F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</w:t>
    </w:r>
    <w:r w:rsidR="00A661B3">
      <w:rPr>
        <w:sz w:val="16"/>
        <w:szCs w:val="16"/>
        <w:lang w:val="en-US"/>
      </w:rPr>
      <w:t>24-009</w:t>
    </w:r>
    <w:r w:rsidR="000E1606">
      <w:rPr>
        <w:sz w:val="16"/>
        <w:szCs w:val="16"/>
        <w:lang w:val="en-US"/>
      </w:rPr>
      <w:t xml:space="preserve"> -</w:t>
    </w:r>
    <w:r w:rsidR="00A661B3">
      <w:rPr>
        <w:sz w:val="16"/>
        <w:szCs w:val="16"/>
        <w:lang w:val="en-US"/>
      </w:rPr>
      <w:t xml:space="preserve"> </w:t>
    </w:r>
    <w:r w:rsidR="00A661B3" w:rsidRPr="00830012">
      <w:rPr>
        <w:rFonts w:cs="Arial"/>
        <w:bCs/>
        <w:spacing w:val="-3"/>
        <w:sz w:val="16"/>
        <w:szCs w:val="16"/>
      </w:rPr>
      <w:t>Supply and Delivery of Pipes and Fittings for Watermain Project</w:t>
    </w:r>
    <w:r w:rsidR="00A661B3">
      <w:rPr>
        <w:rFonts w:cs="Arial"/>
        <w:bCs/>
        <w:spacing w:val="-3"/>
        <w:sz w:val="16"/>
        <w:szCs w:val="16"/>
        <w:lang w:val="en-CA"/>
      </w:rPr>
      <w:t>s</w:t>
    </w:r>
    <w:r w:rsidR="00E00775"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AEE" w14:textId="77777777" w:rsidR="00E00775" w:rsidRDefault="00E00775" w:rsidP="00356B45">
    <w:pPr>
      <w:pStyle w:val="Footer"/>
      <w:tabs>
        <w:tab w:val="clear" w:pos="4680"/>
        <w:tab w:val="clear" w:pos="9360"/>
        <w:tab w:val="right" w:pos="10080"/>
      </w:tabs>
      <w:ind w:left="-720" w:right="-720"/>
      <w:rPr>
        <w:sz w:val="16"/>
        <w:szCs w:val="16"/>
      </w:rPr>
    </w:pPr>
  </w:p>
  <w:p w14:paraId="40A49A13" w14:textId="4341DFCA" w:rsidR="00356B45" w:rsidRDefault="00356B45" w:rsidP="00356B45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2024-009</w:t>
    </w:r>
    <w:r w:rsidR="000E1606">
      <w:rPr>
        <w:sz w:val="16"/>
        <w:szCs w:val="16"/>
        <w:lang w:val="en-US"/>
      </w:rPr>
      <w:t xml:space="preserve"> -</w:t>
    </w:r>
    <w:r>
      <w:rPr>
        <w:sz w:val="16"/>
        <w:szCs w:val="16"/>
        <w:lang w:val="en-US"/>
      </w:rPr>
      <w:t xml:space="preserve"> </w:t>
    </w:r>
    <w:r w:rsidRPr="00830012">
      <w:rPr>
        <w:rFonts w:cs="Arial"/>
        <w:bCs/>
        <w:spacing w:val="-3"/>
        <w:sz w:val="16"/>
        <w:szCs w:val="16"/>
      </w:rPr>
      <w:t>Supply and Delivery of Pipes and Fittings for Watermain Project</w:t>
    </w:r>
    <w:r>
      <w:rPr>
        <w:rFonts w:cs="Arial"/>
        <w:bCs/>
        <w:spacing w:val="-3"/>
        <w:sz w:val="16"/>
        <w:szCs w:val="16"/>
        <w:lang w:val="en-CA"/>
      </w:rPr>
      <w:t>s</w:t>
    </w:r>
    <w:r>
      <w:rPr>
        <w:color w:val="FF0000"/>
        <w:sz w:val="16"/>
        <w:szCs w:val="16"/>
        <w:lang w:val="en-CA"/>
      </w:rPr>
      <w:tab/>
    </w:r>
    <w:r w:rsidR="00E00775">
      <w:rPr>
        <w:color w:val="FF0000"/>
        <w:sz w:val="16"/>
        <w:szCs w:val="16"/>
        <w:lang w:val="en-CA"/>
      </w:rPr>
      <w:t xml:space="preserve">               </w:t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sz w:val="24"/>
      </w:rPr>
      <w:t>16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sz w:val="24"/>
      </w:rPr>
      <w:t>18</w:t>
    </w:r>
    <w:r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EE75" w14:textId="77777777" w:rsidR="0067271F" w:rsidRDefault="0067271F">
      <w:pPr>
        <w:spacing w:line="240" w:lineRule="auto"/>
      </w:pPr>
      <w:r>
        <w:separator/>
      </w:r>
    </w:p>
  </w:footnote>
  <w:footnote w:type="continuationSeparator" w:id="0">
    <w:p w14:paraId="61C44903" w14:textId="77777777" w:rsidR="0067271F" w:rsidRDefault="0067271F">
      <w:pPr>
        <w:spacing w:line="240" w:lineRule="auto"/>
      </w:pPr>
      <w:r>
        <w:continuationSeparator/>
      </w:r>
    </w:p>
  </w:footnote>
  <w:footnote w:type="continuationNotice" w:id="1">
    <w:p w14:paraId="18BC2C93" w14:textId="77777777" w:rsidR="008F2DEE" w:rsidRDefault="008F2D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1753"/>
    <w:multiLevelType w:val="hybridMultilevel"/>
    <w:tmpl w:val="0284F64C"/>
    <w:lvl w:ilvl="0" w:tplc="4BD0CF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6EE"/>
    <w:multiLevelType w:val="hybridMultilevel"/>
    <w:tmpl w:val="FD261E4C"/>
    <w:lvl w:ilvl="0" w:tplc="0CF2F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4A47"/>
    <w:multiLevelType w:val="hybridMultilevel"/>
    <w:tmpl w:val="834EBB2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8"/>
  </w:num>
  <w:num w:numId="2" w16cid:durableId="971524244">
    <w:abstractNumId w:val="2"/>
  </w:num>
  <w:num w:numId="3" w16cid:durableId="595020205">
    <w:abstractNumId w:val="5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9"/>
  </w:num>
  <w:num w:numId="7" w16cid:durableId="948047653">
    <w:abstractNumId w:val="3"/>
  </w:num>
  <w:num w:numId="8" w16cid:durableId="1441880252">
    <w:abstractNumId w:val="10"/>
  </w:num>
  <w:num w:numId="9" w16cid:durableId="342971654">
    <w:abstractNumId w:val="6"/>
  </w:num>
  <w:num w:numId="10" w16cid:durableId="1273368021">
    <w:abstractNumId w:val="7"/>
  </w:num>
  <w:num w:numId="11" w16cid:durableId="815222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259F6"/>
    <w:rsid w:val="00043F15"/>
    <w:rsid w:val="000A1366"/>
    <w:rsid w:val="000A59F9"/>
    <w:rsid w:val="000C1BE7"/>
    <w:rsid w:val="000E1606"/>
    <w:rsid w:val="000E4B53"/>
    <w:rsid w:val="000F5BF8"/>
    <w:rsid w:val="001211E2"/>
    <w:rsid w:val="00137388"/>
    <w:rsid w:val="001C0DC5"/>
    <w:rsid w:val="001D6A2F"/>
    <w:rsid w:val="001F1FC5"/>
    <w:rsid w:val="00256A0C"/>
    <w:rsid w:val="00262DED"/>
    <w:rsid w:val="0026505B"/>
    <w:rsid w:val="0029478E"/>
    <w:rsid w:val="002C126F"/>
    <w:rsid w:val="002C5433"/>
    <w:rsid w:val="00313F52"/>
    <w:rsid w:val="0033580C"/>
    <w:rsid w:val="00346A9A"/>
    <w:rsid w:val="0035325D"/>
    <w:rsid w:val="00356B45"/>
    <w:rsid w:val="00356C62"/>
    <w:rsid w:val="003629E7"/>
    <w:rsid w:val="003D79D5"/>
    <w:rsid w:val="003E0353"/>
    <w:rsid w:val="004014DB"/>
    <w:rsid w:val="004603BE"/>
    <w:rsid w:val="00466ED4"/>
    <w:rsid w:val="004D7E0F"/>
    <w:rsid w:val="005A53D8"/>
    <w:rsid w:val="005C376B"/>
    <w:rsid w:val="005F4853"/>
    <w:rsid w:val="00607776"/>
    <w:rsid w:val="00612734"/>
    <w:rsid w:val="00631448"/>
    <w:rsid w:val="0063535C"/>
    <w:rsid w:val="00642186"/>
    <w:rsid w:val="006453CF"/>
    <w:rsid w:val="00664A73"/>
    <w:rsid w:val="0067271F"/>
    <w:rsid w:val="006732E2"/>
    <w:rsid w:val="006806AC"/>
    <w:rsid w:val="00687190"/>
    <w:rsid w:val="00692D02"/>
    <w:rsid w:val="006A5727"/>
    <w:rsid w:val="00720D24"/>
    <w:rsid w:val="007440FD"/>
    <w:rsid w:val="007D7B6D"/>
    <w:rsid w:val="00816BA3"/>
    <w:rsid w:val="00853242"/>
    <w:rsid w:val="00892266"/>
    <w:rsid w:val="008F2DEE"/>
    <w:rsid w:val="00906E04"/>
    <w:rsid w:val="00920547"/>
    <w:rsid w:val="009230F8"/>
    <w:rsid w:val="00924D01"/>
    <w:rsid w:val="00940633"/>
    <w:rsid w:val="00A32775"/>
    <w:rsid w:val="00A661B3"/>
    <w:rsid w:val="00AC4623"/>
    <w:rsid w:val="00AD03BB"/>
    <w:rsid w:val="00AF0FD3"/>
    <w:rsid w:val="00B00C3D"/>
    <w:rsid w:val="00B04539"/>
    <w:rsid w:val="00B738C6"/>
    <w:rsid w:val="00BA15AE"/>
    <w:rsid w:val="00C0185F"/>
    <w:rsid w:val="00C07793"/>
    <w:rsid w:val="00C12817"/>
    <w:rsid w:val="00C4411E"/>
    <w:rsid w:val="00C45379"/>
    <w:rsid w:val="00C46031"/>
    <w:rsid w:val="00C61E9B"/>
    <w:rsid w:val="00C74222"/>
    <w:rsid w:val="00C842F5"/>
    <w:rsid w:val="00CC0674"/>
    <w:rsid w:val="00CC4E07"/>
    <w:rsid w:val="00CD5B59"/>
    <w:rsid w:val="00D20B2E"/>
    <w:rsid w:val="00D3273E"/>
    <w:rsid w:val="00D54514"/>
    <w:rsid w:val="00DB344A"/>
    <w:rsid w:val="00DE33D8"/>
    <w:rsid w:val="00E00775"/>
    <w:rsid w:val="00E177EF"/>
    <w:rsid w:val="00E20286"/>
    <w:rsid w:val="00E35A87"/>
    <w:rsid w:val="00E92BF1"/>
    <w:rsid w:val="00EA780C"/>
    <w:rsid w:val="00EE7160"/>
    <w:rsid w:val="00EF77C4"/>
    <w:rsid w:val="00F10A4B"/>
    <w:rsid w:val="00F47075"/>
    <w:rsid w:val="00F50511"/>
    <w:rsid w:val="00F95ACC"/>
    <w:rsid w:val="00FB246B"/>
    <w:rsid w:val="00FC53DC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Revision">
    <w:name w:val="Revision"/>
    <w:hidden/>
    <w:uiPriority w:val="99"/>
    <w:semiHidden/>
    <w:rsid w:val="00137388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59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D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D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DE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4" ma:contentTypeDescription="Create a new document." ma:contentTypeScope="" ma:versionID="e3bdc34ab6f02563c7470bde51cfd46e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4f84eabb260b0e9126733c8fb61ce12f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F4SCPX2ZCJX5-419925784-79311</_dlc_DocId>
    <_dlc_DocIdUrl xmlns="7733f395-a2c9-420c-9832-4ae3e53c1e58">
      <Url>https://surreybc.sharepoint.com/sites/FIN.Solicitations/_layouts/15/DocIdRedir.aspx?ID=F4SCPX2ZCJX5-419925784-79311</Url>
      <Description>F4SCPX2ZCJX5-419925784-79311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3C9D4-C83D-4D9B-83DE-4EC42035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59C5C9-69F6-4796-AB5F-E11886EF79D3}">
  <ds:schemaRefs>
    <ds:schemaRef ds:uri="http://schemas.microsoft.com/office/2006/documentManagement/types"/>
    <ds:schemaRef ds:uri="http://www.w3.org/XML/1998/namespace"/>
    <ds:schemaRef ds:uri="e9ef387f-73eb-4fdd-b4c0-292d9e2e2a2e"/>
    <ds:schemaRef ds:uri="http://purl.org/dc/terms/"/>
    <ds:schemaRef ds:uri="7733f395-a2c9-420c-9832-4ae3e53c1e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84c6c1-8df3-40fd-93ab-1ecbbd29985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24</TotalTime>
  <Pages>4</Pages>
  <Words>578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3681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Cumiskey, Regan</cp:lastModifiedBy>
  <cp:revision>5</cp:revision>
  <cp:lastPrinted>2014-03-27T23:08:00Z</cp:lastPrinted>
  <dcterms:created xsi:type="dcterms:W3CDTF">2024-01-19T16:57:00Z</dcterms:created>
  <dcterms:modified xsi:type="dcterms:W3CDTF">2024-01-19T17:36:00Z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b0a7089d-125a-4fd3-88e4-6d9b79bcc79e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